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35E46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272</w:t>
      </w:r>
      <w:r w:rsidRPr="00FD3268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F35E46" w:rsidRDefault="00275858" w:rsidP="00F35E4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F35E46" w:rsidRPr="00F35E46" w:rsidRDefault="00F35E46" w:rsidP="00F35E46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</w:rPr>
      </w:pP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2021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թվականի</w:t>
      </w: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մայիսի</w:t>
      </w: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 24-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ի</w:t>
      </w: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35E46">
        <w:rPr>
          <w:rFonts w:ascii="GHEA Grapalat" w:hAnsi="GHEA Grapalat" w:cs="Sylfaen"/>
          <w:color w:val="000000" w:themeColor="text1"/>
          <w:sz w:val="16"/>
          <w:szCs w:val="16"/>
        </w:rPr>
        <w:t>368-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</w:t>
      </w:r>
      <w:r>
        <w:rPr>
          <w:rFonts w:ascii="GHEA Grapalat" w:hAnsi="GHEA Grapalat" w:cs="Sylfaen"/>
          <w:color w:val="0D0D0D"/>
          <w:sz w:val="16"/>
          <w:szCs w:val="16"/>
          <w:lang w:val="ru-RU"/>
        </w:rPr>
        <w:t>ով</w:t>
      </w:r>
      <w:bookmarkStart w:id="0" w:name="_GoBack"/>
      <w:bookmarkEnd w:id="0"/>
    </w:p>
    <w:p w:rsidR="00E74CD7" w:rsidRPr="00F35E46" w:rsidRDefault="00E74CD7" w:rsidP="00414C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D45F52" w:rsidRPr="00FD3268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9468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414C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35E46" w:rsidTr="0075167C">
        <w:trPr>
          <w:trHeight w:val="455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946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414C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D26B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004C1B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26BB5">
              <w:rPr>
                <w:rFonts w:ascii="GHEA Grapalat" w:hAnsi="GHEA Grapalat"/>
                <w:sz w:val="24"/>
                <w:szCs w:val="24"/>
              </w:rPr>
              <w:t>6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D00F5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D26BB5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26BB5"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>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414C1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C876EB" w:rsidRDefault="00140C7A" w:rsidP="00694689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5167C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75167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75167C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75167C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75167C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75167C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</w:p>
        </w:tc>
      </w:tr>
      <w:tr w:rsidR="003C5E15" w:rsidRPr="00F35E4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տնտեսավարող սուբյեկտների հաշվառ</w:t>
            </w:r>
            <w:r w:rsidR="00D26BB5">
              <w:rPr>
                <w:rFonts w:ascii="GHEA Grapalat" w:hAnsi="GHEA Grapalat"/>
                <w:lang w:val="hy-AM"/>
              </w:rPr>
              <w:t>ման, խորհրդատվության տրամադրման</w:t>
            </w:r>
            <w:r w:rsidR="00D26BB5" w:rsidRPr="00D26BB5">
              <w:rPr>
                <w:rFonts w:ascii="GHEA Grapalat" w:hAnsi="GHEA Grapalat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/>
                <w:lang w:val="hy-AM"/>
              </w:rPr>
              <w:t>ինչպես նաև ռեե</w:t>
            </w:r>
            <w:r w:rsidR="00D00F5C">
              <w:rPr>
                <w:rFonts w:ascii="GHEA Grapalat" w:hAnsi="GHEA Grapalat"/>
                <w:lang w:val="hy-AM"/>
              </w:rPr>
              <w:t>ստրներում գրանցման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համար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պահանջվող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="0009609E" w:rsidRPr="00D82A33">
              <w:rPr>
                <w:rFonts w:ascii="GHEA Grapalat" w:hAnsi="GHEA Grapalat"/>
                <w:lang w:val="mt-MT"/>
              </w:rPr>
              <w:t>8-</w:t>
            </w:r>
            <w:r w:rsidR="0009609E" w:rsidRPr="00D82A33">
              <w:rPr>
                <w:rFonts w:ascii="GHEA Grapalat" w:hAnsi="GHEA Grapalat"/>
                <w:lang w:val="hy-AM"/>
              </w:rPr>
              <w:t>րդ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ձև տրամադրման աշխատանքներ</w:t>
            </w:r>
            <w:r w:rsidR="00D26BB5" w:rsidRPr="00D26BB5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</w:t>
            </w:r>
            <w:r w:rsidR="00D00F5C">
              <w:rPr>
                <w:rFonts w:ascii="GHEA Grapalat" w:hAnsi="GHEA Grapalat"/>
                <w:lang w:val="hy-AM"/>
              </w:rPr>
              <w:t xml:space="preserve">անգերին </w:t>
            </w:r>
            <w:r w:rsidR="00D00F5C">
              <w:rPr>
                <w:rFonts w:ascii="GHEA Grapalat" w:hAnsi="GHEA Grapalat"/>
                <w:lang w:val="hy-AM"/>
              </w:rPr>
              <w:lastRenderedPageBreak/>
              <w:t>արձագանքման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E431A1">
              <w:rPr>
                <w:rFonts w:ascii="GHEA Grapalat" w:hAnsi="GHEA Grapalat"/>
                <w:lang w:val="hy-AM"/>
              </w:rPr>
              <w:t xml:space="preserve">մարզից </w:t>
            </w:r>
            <w:r w:rsidR="0009609E" w:rsidRPr="00D82A33">
              <w:rPr>
                <w:rFonts w:ascii="GHEA Grapalat" w:hAnsi="GHEA Grapalat"/>
                <w:lang w:val="hy-AM"/>
              </w:rPr>
              <w:t>դուրս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</w:t>
            </w:r>
            <w:r w:rsidR="00D00F5C">
              <w:rPr>
                <w:rFonts w:ascii="GHEA Grapalat" w:hAnsi="GHEA Grapalat"/>
                <w:lang w:val="hy-AM"/>
              </w:rPr>
              <w:t>տաթղթաշրջանառության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>.</w:t>
            </w:r>
          </w:p>
          <w:p w:rsidR="0009609E" w:rsidRPr="004834AF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</w:t>
            </w:r>
            <w:r w:rsidR="00D00F5C">
              <w:rPr>
                <w:rFonts w:ascii="GHEA Grapalat" w:hAnsi="GHEA Grapalat"/>
                <w:lang w:val="hy-AM"/>
              </w:rPr>
              <w:t>նության ներկայացման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 աշխատանքներին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26B9" w:rsidRPr="00D82A3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</w:t>
            </w:r>
            <w:r w:rsidR="004D26B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Տեսչական մարմնի կողմից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09609E"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EC259A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09609E"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 w:rsidR="0009609E"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EC259A" w:rsidRPr="002579E9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C259A" w:rsidRPr="00305F4E">
              <w:rPr>
                <w:rFonts w:ascii="GHEA Grapalat" w:hAnsi="GHEA Grapalat"/>
                <w:lang w:val="hy-AM"/>
              </w:rPr>
              <w:t>քննարկման ներկայացված գրությունների վերաբերյալ</w:t>
            </w:r>
            <w:r w:rsidR="00EC259A">
              <w:rPr>
                <w:rFonts w:ascii="GHEA Grapalat" w:hAnsi="GHEA Grapalat"/>
                <w:lang w:val="hy-AM"/>
              </w:rPr>
              <w:t xml:space="preserve"> </w:t>
            </w:r>
            <w:r w:rsidR="00EC259A" w:rsidRPr="00305F4E">
              <w:rPr>
                <w:rFonts w:ascii="GHEA Grapalat" w:hAnsi="GHEA Grapalat"/>
                <w:lang w:val="hy-AM"/>
              </w:rPr>
              <w:t>առարկություններ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և առաջարկություններ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</w:t>
            </w:r>
            <w:r w:rsidR="00EC259A">
              <w:rPr>
                <w:rFonts w:ascii="GHEA Grapalat" w:hAnsi="GHEA Grapalat"/>
                <w:lang w:val="hy-AM"/>
              </w:rPr>
              <w:t>ներկայաց</w:t>
            </w:r>
            <w:r w:rsidR="00EC259A" w:rsidRPr="00EC259A">
              <w:rPr>
                <w:rFonts w:ascii="GHEA Grapalat" w:hAnsi="GHEA Grapalat"/>
                <w:lang w:val="hy-AM"/>
              </w:rPr>
              <w:t>ման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 </w:t>
            </w:r>
            <w:r w:rsidR="00EC259A" w:rsidRPr="00EC259A">
              <w:rPr>
                <w:rFonts w:ascii="GHEA Grapalat" w:hAnsi="GHEA Grapalat"/>
                <w:lang w:val="hy-AM"/>
              </w:rPr>
              <w:t>աշխատանքներին</w:t>
            </w:r>
            <w:r w:rsidR="00EC259A" w:rsidRPr="00305F4E">
              <w:rPr>
                <w:rFonts w:ascii="GHEA Grapalat" w:hAnsi="GHEA Grapalat"/>
                <w:lang w:val="hy-AM"/>
              </w:rPr>
              <w:t>.</w:t>
            </w:r>
            <w:r w:rsidR="00EC259A"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9609E" w:rsidRPr="00FD3268" w:rsidRDefault="0009609E" w:rsidP="0009609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A23A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="00F57CCF" w:rsidRPr="00F57CC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սեմինարներ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ի, գիտաժողովների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609E" w:rsidRPr="00E431A1" w:rsidRDefault="00F57CCF" w:rsidP="0009609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609E" w:rsidRPr="00997B21" w:rsidRDefault="0009609E" w:rsidP="0009609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EC259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  <w:r w:rsidR="00997B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09609E" w:rsidRPr="00EC259A" w:rsidRDefault="0009609E" w:rsidP="0009609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EC259A" w:rsidRPr="00EC259A" w:rsidRDefault="00EC259A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EC259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57CCF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ուսումնասիրել քաղաքացիների, կազմակերպությունների, պետական և տեղական ինքնակառավարման մարմինների բողոքներն ու դիմումները և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, բողոքների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57C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A05C3" w:rsidRPr="00F57CCF" w:rsidRDefault="00DA05C3" w:rsidP="00DA05C3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ներկայացնել առաջարկություն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F57CCF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57CCF" w:rsidRPr="0049097C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0249C2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եր. </w:t>
            </w:r>
          </w:p>
          <w:p w:rsidR="00F57CCF" w:rsidRPr="00D21B8A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</w:p>
          <w:p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նտրոն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EC259A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C1F09" w:rsidRPr="001240C6" w:rsidRDefault="003C5E15" w:rsidP="00AB15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  <w:r w:rsidR="001240C6" w:rsidRPr="001240C6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</w:p>
          <w:p w:rsidR="008E696F" w:rsidRPr="00FD3268" w:rsidRDefault="003C5E15" w:rsidP="004C1F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AB15E4" w:rsidRPr="00AB15E4">
              <w:rPr>
                <w:rFonts w:ascii="GHEA Grapalat" w:hAnsi="GHEA Grapalat"/>
                <w:iCs/>
                <w:lang w:val="hy-AM"/>
              </w:rPr>
              <w:t>Աշխատանքային ստաժ չի պահանջվում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D326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35E4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00F5C" w:rsidRDefault="00AB15E4" w:rsidP="00E431A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5B40CA" w:rsidRP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EE"/>
    <w:multiLevelType w:val="hybridMultilevel"/>
    <w:tmpl w:val="49B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D0"/>
    <w:multiLevelType w:val="hybridMultilevel"/>
    <w:tmpl w:val="9DE0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C7357"/>
    <w:multiLevelType w:val="hybridMultilevel"/>
    <w:tmpl w:val="2BB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17"/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26"/>
  </w:num>
  <w:num w:numId="15">
    <w:abstractNumId w:val="28"/>
  </w:num>
  <w:num w:numId="16">
    <w:abstractNumId w:val="24"/>
  </w:num>
  <w:num w:numId="17">
    <w:abstractNumId w:val="27"/>
  </w:num>
  <w:num w:numId="18">
    <w:abstractNumId w:val="19"/>
  </w:num>
  <w:num w:numId="19">
    <w:abstractNumId w:val="0"/>
  </w:num>
  <w:num w:numId="20">
    <w:abstractNumId w:val="2"/>
  </w:num>
  <w:num w:numId="21">
    <w:abstractNumId w:val="30"/>
  </w:num>
  <w:num w:numId="22">
    <w:abstractNumId w:val="31"/>
  </w:num>
  <w:num w:numId="23">
    <w:abstractNumId w:val="14"/>
  </w:num>
  <w:num w:numId="24">
    <w:abstractNumId w:val="29"/>
  </w:num>
  <w:num w:numId="25">
    <w:abstractNumId w:val="18"/>
  </w:num>
  <w:num w:numId="26">
    <w:abstractNumId w:val="10"/>
  </w:num>
  <w:num w:numId="27">
    <w:abstractNumId w:val="5"/>
  </w:num>
  <w:num w:numId="28">
    <w:abstractNumId w:val="9"/>
  </w:num>
  <w:num w:numId="29">
    <w:abstractNumId w:val="11"/>
  </w:num>
  <w:num w:numId="30">
    <w:abstractNumId w:val="13"/>
  </w:num>
  <w:num w:numId="31">
    <w:abstractNumId w:val="21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4C1B"/>
    <w:rsid w:val="000249C2"/>
    <w:rsid w:val="00034692"/>
    <w:rsid w:val="000352C8"/>
    <w:rsid w:val="00037466"/>
    <w:rsid w:val="000411A5"/>
    <w:rsid w:val="000779F4"/>
    <w:rsid w:val="00084C9F"/>
    <w:rsid w:val="00086A0A"/>
    <w:rsid w:val="0009609E"/>
    <w:rsid w:val="000A79E1"/>
    <w:rsid w:val="000A7B7B"/>
    <w:rsid w:val="000B345B"/>
    <w:rsid w:val="000D392B"/>
    <w:rsid w:val="000D5F74"/>
    <w:rsid w:val="000E7E12"/>
    <w:rsid w:val="0010100C"/>
    <w:rsid w:val="0010182A"/>
    <w:rsid w:val="00106D1D"/>
    <w:rsid w:val="001074E5"/>
    <w:rsid w:val="00107823"/>
    <w:rsid w:val="00113C7C"/>
    <w:rsid w:val="00116E7E"/>
    <w:rsid w:val="00122F8F"/>
    <w:rsid w:val="001240C6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7C04"/>
    <w:rsid w:val="001E3BCA"/>
    <w:rsid w:val="001E6ABE"/>
    <w:rsid w:val="001F5027"/>
    <w:rsid w:val="00204F30"/>
    <w:rsid w:val="00206986"/>
    <w:rsid w:val="00206C96"/>
    <w:rsid w:val="00207150"/>
    <w:rsid w:val="00217AD5"/>
    <w:rsid w:val="00221081"/>
    <w:rsid w:val="00221FF6"/>
    <w:rsid w:val="00231329"/>
    <w:rsid w:val="002516BE"/>
    <w:rsid w:val="00251AF0"/>
    <w:rsid w:val="00275858"/>
    <w:rsid w:val="00281B69"/>
    <w:rsid w:val="00283151"/>
    <w:rsid w:val="00292485"/>
    <w:rsid w:val="002A528D"/>
    <w:rsid w:val="002E2AF9"/>
    <w:rsid w:val="002E662E"/>
    <w:rsid w:val="00317CA3"/>
    <w:rsid w:val="00324076"/>
    <w:rsid w:val="00326355"/>
    <w:rsid w:val="00334754"/>
    <w:rsid w:val="00343519"/>
    <w:rsid w:val="00363AC8"/>
    <w:rsid w:val="003C263F"/>
    <w:rsid w:val="003C5E15"/>
    <w:rsid w:val="003D1668"/>
    <w:rsid w:val="003E697D"/>
    <w:rsid w:val="00411E7F"/>
    <w:rsid w:val="00414B96"/>
    <w:rsid w:val="00414C13"/>
    <w:rsid w:val="00424BC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18D5"/>
    <w:rsid w:val="004C1F09"/>
    <w:rsid w:val="004C4986"/>
    <w:rsid w:val="004D26B9"/>
    <w:rsid w:val="004D34D5"/>
    <w:rsid w:val="004E47AF"/>
    <w:rsid w:val="004E48C0"/>
    <w:rsid w:val="004F0E1D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86B87"/>
    <w:rsid w:val="00591B8B"/>
    <w:rsid w:val="005A287D"/>
    <w:rsid w:val="005B40CA"/>
    <w:rsid w:val="005E646E"/>
    <w:rsid w:val="00603BDD"/>
    <w:rsid w:val="00620E77"/>
    <w:rsid w:val="00624A4D"/>
    <w:rsid w:val="006254E1"/>
    <w:rsid w:val="00665984"/>
    <w:rsid w:val="006827A3"/>
    <w:rsid w:val="00683747"/>
    <w:rsid w:val="0068651B"/>
    <w:rsid w:val="006945A4"/>
    <w:rsid w:val="00694689"/>
    <w:rsid w:val="006A3D92"/>
    <w:rsid w:val="006A3E25"/>
    <w:rsid w:val="006A54A3"/>
    <w:rsid w:val="006B1D27"/>
    <w:rsid w:val="006C238C"/>
    <w:rsid w:val="006C2B08"/>
    <w:rsid w:val="006F5BC1"/>
    <w:rsid w:val="00713189"/>
    <w:rsid w:val="0071494D"/>
    <w:rsid w:val="0075167C"/>
    <w:rsid w:val="00775518"/>
    <w:rsid w:val="007A0615"/>
    <w:rsid w:val="007A14F0"/>
    <w:rsid w:val="007B1B24"/>
    <w:rsid w:val="007B3877"/>
    <w:rsid w:val="007C2FEE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4DE6"/>
    <w:rsid w:val="00835CBB"/>
    <w:rsid w:val="00855F7E"/>
    <w:rsid w:val="00866723"/>
    <w:rsid w:val="008802B3"/>
    <w:rsid w:val="008837A5"/>
    <w:rsid w:val="00891EC9"/>
    <w:rsid w:val="00893785"/>
    <w:rsid w:val="00895FC6"/>
    <w:rsid w:val="008C71E6"/>
    <w:rsid w:val="008C7304"/>
    <w:rsid w:val="008E384F"/>
    <w:rsid w:val="008E46F4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97B21"/>
    <w:rsid w:val="009A0475"/>
    <w:rsid w:val="009A29D6"/>
    <w:rsid w:val="009A6B78"/>
    <w:rsid w:val="009A71DB"/>
    <w:rsid w:val="009C14E8"/>
    <w:rsid w:val="009D0775"/>
    <w:rsid w:val="009D5916"/>
    <w:rsid w:val="009E72D8"/>
    <w:rsid w:val="00A23ADF"/>
    <w:rsid w:val="00A30269"/>
    <w:rsid w:val="00A47B7E"/>
    <w:rsid w:val="00A51DFF"/>
    <w:rsid w:val="00A708DF"/>
    <w:rsid w:val="00AA3179"/>
    <w:rsid w:val="00AA4C3B"/>
    <w:rsid w:val="00AB15E4"/>
    <w:rsid w:val="00AB7766"/>
    <w:rsid w:val="00AC0A74"/>
    <w:rsid w:val="00AD6CC0"/>
    <w:rsid w:val="00AE2B84"/>
    <w:rsid w:val="00AE3077"/>
    <w:rsid w:val="00AF142F"/>
    <w:rsid w:val="00B31066"/>
    <w:rsid w:val="00B355CB"/>
    <w:rsid w:val="00B674BF"/>
    <w:rsid w:val="00B810ED"/>
    <w:rsid w:val="00B85E14"/>
    <w:rsid w:val="00B9049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876EB"/>
    <w:rsid w:val="00C9375E"/>
    <w:rsid w:val="00CB4E34"/>
    <w:rsid w:val="00CC2200"/>
    <w:rsid w:val="00CC37A1"/>
    <w:rsid w:val="00CD1366"/>
    <w:rsid w:val="00CE633A"/>
    <w:rsid w:val="00CF0DF9"/>
    <w:rsid w:val="00D00F5C"/>
    <w:rsid w:val="00D1385D"/>
    <w:rsid w:val="00D160D0"/>
    <w:rsid w:val="00D17BF4"/>
    <w:rsid w:val="00D26BB5"/>
    <w:rsid w:val="00D35732"/>
    <w:rsid w:val="00D360D6"/>
    <w:rsid w:val="00D37294"/>
    <w:rsid w:val="00D4390F"/>
    <w:rsid w:val="00D45F52"/>
    <w:rsid w:val="00D515E4"/>
    <w:rsid w:val="00DA05C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31A1"/>
    <w:rsid w:val="00E46A55"/>
    <w:rsid w:val="00E5343C"/>
    <w:rsid w:val="00E64B41"/>
    <w:rsid w:val="00E72386"/>
    <w:rsid w:val="00E74CD7"/>
    <w:rsid w:val="00EA78AE"/>
    <w:rsid w:val="00EB2814"/>
    <w:rsid w:val="00EC259A"/>
    <w:rsid w:val="00ED6921"/>
    <w:rsid w:val="00EF399C"/>
    <w:rsid w:val="00F04E76"/>
    <w:rsid w:val="00F153B7"/>
    <w:rsid w:val="00F35E46"/>
    <w:rsid w:val="00F40972"/>
    <w:rsid w:val="00F467ED"/>
    <w:rsid w:val="00F54D85"/>
    <w:rsid w:val="00F55B09"/>
    <w:rsid w:val="00F57CCF"/>
    <w:rsid w:val="00F6352B"/>
    <w:rsid w:val="00F77582"/>
    <w:rsid w:val="00F942A9"/>
    <w:rsid w:val="00FB504C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7EA8"/>
  <w15:docId w15:val="{3739AC29-85E1-4916-A052-31E21D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9CB7-BB4C-4038-AE77-6AB07F1C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174</cp:revision>
  <cp:lastPrinted>2020-01-24T05:40:00Z</cp:lastPrinted>
  <dcterms:created xsi:type="dcterms:W3CDTF">2020-01-20T08:29:00Z</dcterms:created>
  <dcterms:modified xsi:type="dcterms:W3CDTF">2021-05-24T13:01:00Z</dcterms:modified>
  <cp:keywords>https://mul2-fsss.gov.am/tasks/334942/oneclick/838952a14291c9c65b52bd166f8b6b7770dcf46e59cfbbcdde640ac993485966.docx?token=6d2c7be7b8cfb9cd7c3921b5f3625725</cp:keywords>
</cp:coreProperties>
</file>